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宋体"/>
          <w:b/>
          <w:sz w:val="30"/>
          <w:szCs w:val="30"/>
          <w:lang w:val="en-US" w:eastAsia="zh-CN"/>
        </w:rPr>
      </w:pPr>
      <w:r>
        <w:rPr>
          <w:rFonts w:hint="eastAsia" w:ascii="Arial" w:hAnsi="Arial" w:eastAsia="宋体" w:cs="宋体"/>
          <w:b/>
          <w:color w:val="000000"/>
          <w:sz w:val="30"/>
          <w:szCs w:val="30"/>
        </w:rPr>
        <w:t>信诺</w:t>
      </w:r>
      <w:r>
        <w:rPr>
          <w:rFonts w:hint="eastAsia" w:ascii="Arial" w:hAnsi="Arial" w:eastAsia="宋体" w:cs="宋体"/>
          <w:b/>
          <w:color w:val="000000"/>
          <w:sz w:val="30"/>
          <w:szCs w:val="30"/>
          <w:vertAlign w:val="superscript"/>
        </w:rPr>
        <w:t>®</w:t>
      </w:r>
      <w:r>
        <w:rPr>
          <w:rFonts w:hint="eastAsia" w:ascii="Arial" w:hAnsi="Arial" w:eastAsia="宋体" w:cs="宋体"/>
          <w:b/>
          <w:sz w:val="30"/>
          <w:szCs w:val="30"/>
          <w:lang w:val="en-US" w:eastAsia="zh-CN"/>
        </w:rPr>
        <w:t>溶剂型分散剂</w:t>
      </w:r>
    </w:p>
    <w:p>
      <w:pPr>
        <w:spacing w:line="240" w:lineRule="auto"/>
        <w:rPr>
          <w:rFonts w:hint="default" w:ascii="Arial" w:hAnsi="Arial" w:eastAsia="宋体"/>
          <w:b/>
          <w:color w:val="000000"/>
          <w:sz w:val="18"/>
          <w:szCs w:val="18"/>
          <w:lang w:val="en-US"/>
        </w:rPr>
      </w:pPr>
      <w:r>
        <w:rPr>
          <w:rFonts w:hint="eastAsia" w:ascii="Arial" w:hAnsi="Arial" w:eastAsia="宋体" w:cs="宋体"/>
          <w:b/>
          <w:sz w:val="24"/>
          <w:szCs w:val="24"/>
          <w:lang w:val="en-US" w:eastAsia="zh-CN"/>
        </w:rPr>
        <w:t>用于</w:t>
      </w:r>
      <w:r>
        <w:rPr>
          <w:rFonts w:hint="eastAsia" w:ascii="Arial" w:hAnsi="Arial" w:cs="宋体"/>
          <w:b/>
          <w:sz w:val="24"/>
          <w:szCs w:val="24"/>
          <w:lang w:val="en-US" w:eastAsia="zh-CN"/>
        </w:rPr>
        <w:t>纳米无机粉体</w:t>
      </w:r>
      <w:r>
        <w:rPr>
          <w:rFonts w:hint="eastAsia" w:ascii="Arial" w:hAnsi="Arial" w:eastAsia="宋体" w:cs="宋体"/>
          <w:b/>
          <w:sz w:val="24"/>
          <w:szCs w:val="24"/>
          <w:lang w:val="en-US" w:eastAsia="zh-CN"/>
        </w:rPr>
        <w:t>浆料</w:t>
      </w:r>
    </w:p>
    <w:p>
      <w:pPr>
        <w:spacing w:line="300" w:lineRule="exact"/>
        <w:rPr>
          <w:rFonts w:hint="eastAsia" w:ascii="Arial" w:hAnsi="Arial" w:eastAsia="宋体"/>
          <w:b/>
          <w:color w:val="000000"/>
          <w:sz w:val="28"/>
          <w:szCs w:val="28"/>
          <w:lang w:eastAsia="zh-CN"/>
        </w:rPr>
      </w:pPr>
    </w:p>
    <w:p>
      <w:pPr>
        <w:spacing w:line="300" w:lineRule="exact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eastAsia="zh-CN"/>
        </w:rPr>
        <w:t>产品</w:t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编号</w:t>
      </w:r>
      <w:r>
        <w:rPr>
          <w:rFonts w:ascii="Arial" w:hAnsi="Arial" w:eastAsia="宋体"/>
          <w:b/>
          <w:color w:val="000000"/>
          <w:sz w:val="28"/>
          <w:szCs w:val="28"/>
        </w:rPr>
        <w:t xml:space="preserve">                     </w:t>
      </w:r>
    </w:p>
    <w:p>
      <w:pPr>
        <w:spacing w:line="300" w:lineRule="exact"/>
        <w:rPr>
          <w:rFonts w:hint="default" w:ascii="Arial" w:hAnsi="Arial" w:eastAsia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ascii="Arial" w:hAnsi="Arial" w:eastAsia="宋体"/>
          <w:b w:val="0"/>
          <w:bCs/>
          <w:color w:val="000000"/>
          <w:sz w:val="21"/>
          <w:szCs w:val="21"/>
        </w:rPr>
        <w:t>信诺</w:t>
      </w:r>
      <w:r>
        <w:rPr>
          <w:rFonts w:ascii="Arial" w:hAnsi="Arial" w:eastAsia="宋体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 w:eastAsia="宋体"/>
          <w:b w:val="0"/>
          <w:bCs/>
          <w:color w:val="000000"/>
          <w:sz w:val="21"/>
          <w:szCs w:val="21"/>
          <w:lang w:val="en-US" w:eastAsia="zh-CN"/>
        </w:rPr>
        <w:t>LD 112</w:t>
      </w:r>
      <w:r>
        <w:rPr>
          <w:rFonts w:hint="eastAsia" w:ascii="Arial" w:hAnsi="Arial"/>
          <w:b w:val="0"/>
          <w:bCs/>
          <w:color w:val="000000"/>
          <w:sz w:val="21"/>
          <w:szCs w:val="21"/>
          <w:lang w:val="en-US" w:eastAsia="zh-CN"/>
        </w:rPr>
        <w:t>9</w:t>
      </w:r>
    </w:p>
    <w:p>
      <w:pPr>
        <w:spacing w:line="240" w:lineRule="auto"/>
        <w:rPr>
          <w:rFonts w:ascii="Arial" w:hAnsi="Arial" w:eastAsia="宋体"/>
          <w:color w:val="000000"/>
          <w:sz w:val="18"/>
          <w:szCs w:val="18"/>
        </w:rPr>
      </w:pPr>
      <w:r>
        <w:rPr>
          <w:rFonts w:ascii="Arial" w:hAnsi="Arial" w:eastAsia="宋体"/>
          <w:color w:val="000000"/>
          <w:sz w:val="24"/>
        </w:rPr>
        <w:t xml:space="preserve">         </w:t>
      </w:r>
    </w:p>
    <w:p>
      <w:pPr>
        <w:spacing w:line="240" w:lineRule="auto"/>
        <w:rPr>
          <w:rFonts w:hint="eastAsia" w:ascii="Arial" w:hAnsi="Arial" w:eastAsia="宋体"/>
          <w:b/>
          <w:color w:val="000000"/>
          <w:sz w:val="18"/>
          <w:szCs w:val="18"/>
          <w:lang w:val="en-US" w:eastAsia="zh-CN"/>
        </w:rPr>
      </w:pPr>
      <w:r>
        <w:rPr>
          <w:rFonts w:hint="eastAsia" w:ascii="Arial" w:hAnsi="Arial" w:eastAsia="宋体"/>
          <w:b/>
          <w:sz w:val="28"/>
          <w:szCs w:val="28"/>
          <w:lang w:val="en-US" w:eastAsia="zh-CN"/>
        </w:rPr>
        <w:t>物化指标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648"/>
        <w:gridCol w:w="247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指标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测试方法或设备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组成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多官能梳状功能性聚合物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外观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红棕色至黑红色粘稠液体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2"/>
                <w:szCs w:val="22"/>
                <w:u w:val="none"/>
                <w:lang w:val="en-US" w:eastAsia="zh-CN"/>
              </w:rPr>
              <w:t>活性物含量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sz w:val="22"/>
                <w:szCs w:val="22"/>
                <w:u w:val="none"/>
                <w:lang w:val="en-US" w:eastAsia="zh-CN"/>
              </w:rPr>
              <w:t>100</w:t>
            </w: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%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---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sz w:val="22"/>
                <w:szCs w:val="22"/>
                <w:u w:val="none"/>
                <w:lang w:val="en-US" w:eastAsia="zh-CN"/>
              </w:rPr>
              <w:t>GB/T 1725-2007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密度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 xml:space="preserve"> 0.92-0.98 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g/ml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乙酸二氢松油酯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=10:90，比重杯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GB/T 6750-2007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粘度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5-25秒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乙酸二氢松油酯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=10:90，涂4杯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GB/T 1723-1993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pH值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乙酸二氢松油酯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=10:90，玻璃电极法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GB/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T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 xml:space="preserve"> 9724-2007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default" w:ascii="Arial" w:hAnsi="Arial" w:eastAsia="宋体" w:cs="Times New Roman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折光率</w:t>
            </w:r>
          </w:p>
        </w:tc>
        <w:tc>
          <w:tcPr>
            <w:tcW w:w="3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1.4</w:t>
            </w:r>
            <w:r>
              <w:rPr>
                <w:rFonts w:hint="eastAsia" w:ascii="Arial" w:hAnsi="Arial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45</w:t>
            </w:r>
            <w:r>
              <w:rPr>
                <w:rFonts w:hint="eastAsia" w:ascii="Arial" w:hAnsi="Arial" w:eastAsia="宋体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-1.4</w:t>
            </w:r>
            <w:r>
              <w:rPr>
                <w:rFonts w:hint="eastAsia" w:ascii="Arial" w:hAnsi="Arial"/>
                <w:b w:val="0"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54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LD-112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Arial" w:hAnsi="Arial"/>
                <w:color w:val="000000"/>
                <w:sz w:val="22"/>
                <w:szCs w:val="22"/>
                <w:u w:val="none"/>
                <w:lang w:val="en-US" w:eastAsia="zh-CN"/>
              </w:rPr>
              <w:t>乙酸二氢松油酯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u w:val="none"/>
                <w:lang w:val="en-US" w:eastAsia="zh-CN"/>
              </w:rPr>
              <w:t>=10:90，</w:t>
            </w:r>
            <w:r>
              <w:rPr>
                <w:rFonts w:hint="eastAsia" w:ascii="Arial" w:hAnsi="Arial" w:eastAsia="宋体"/>
                <w:color w:val="000000"/>
                <w:sz w:val="22"/>
                <w:szCs w:val="22"/>
                <w:lang w:val="en-US" w:eastAsia="zh-CN"/>
              </w:rPr>
              <w:t>阿贝折射仪</w:t>
            </w:r>
          </w:p>
        </w:tc>
        <w:tc>
          <w:tcPr>
            <w:tcW w:w="198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6488-2008</w:t>
            </w:r>
          </w:p>
        </w:tc>
      </w:tr>
    </w:tbl>
    <w:p>
      <w:pPr>
        <w:spacing w:line="240" w:lineRule="auto"/>
        <w:rPr>
          <w:rFonts w:hint="eastAsia" w:ascii="Arial" w:hAnsi="Arial" w:eastAsia="宋体"/>
          <w:b/>
          <w:color w:val="000000"/>
          <w:sz w:val="18"/>
          <w:szCs w:val="18"/>
          <w:lang w:val="en-US" w:eastAsia="zh-CN"/>
        </w:rPr>
      </w:pPr>
      <w:r>
        <w:rPr>
          <w:rFonts w:hint="eastAsia" w:ascii="Arial" w:hAnsi="Arial" w:eastAsia="宋体"/>
          <w:sz w:val="18"/>
          <w:szCs w:val="18"/>
          <w:lang w:val="en-US" w:eastAsia="zh-CN"/>
        </w:rPr>
        <w:t>注：本指标仅代表典型结果，不被视为规格，以具体COA为主。</w:t>
      </w:r>
    </w:p>
    <w:p>
      <w:pPr>
        <w:spacing w:line="240" w:lineRule="auto"/>
        <w:rPr>
          <w:rFonts w:hint="eastAsia" w:ascii="Arial" w:hAnsi="Arial" w:eastAsia="宋体"/>
          <w:b/>
          <w:color w:val="00000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应用</w:t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领域</w:t>
      </w:r>
    </w:p>
    <w:p>
      <w:pPr>
        <w:spacing w:line="300" w:lineRule="exact"/>
        <w:rPr>
          <w:rFonts w:hint="default" w:ascii="Arial" w:hAnsi="Arial" w:eastAsia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溶剂型体系、</w:t>
      </w:r>
      <w:r>
        <w:rPr>
          <w:rFonts w:hint="default" w:ascii="Arial" w:hAnsi="Arial" w:eastAsia="宋体" w:cs="Arial"/>
          <w:color w:val="auto"/>
          <w:sz w:val="22"/>
          <w:szCs w:val="22"/>
          <w:lang w:val="en-US" w:eastAsia="zh-CN"/>
        </w:rPr>
        <w:t>MLCC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纳米钛酸钡、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纳米二氧化锆、纳米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镍的分散</w:t>
      </w:r>
    </w:p>
    <w:p>
      <w:pPr>
        <w:spacing w:line="240" w:lineRule="auto"/>
        <w:rPr>
          <w:rFonts w:hint="eastAsia" w:ascii="Arial" w:hAnsi="Arial" w:eastAsia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color w:val="000000"/>
          <w:sz w:val="18"/>
          <w:szCs w:val="21"/>
          <w:lang w:val="en-US" w:eastAsia="zh-CN"/>
        </w:rPr>
        <w:br w:type="textWrapping"/>
      </w: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主要特性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 w:eastAsia="宋体"/>
          <w:color w:val="000000"/>
        </w:rPr>
      </w:pPr>
      <w:r>
        <w:rPr>
          <w:rFonts w:hint="eastAsia" w:ascii="Arial" w:hAnsi="Arial" w:eastAsia="宋体"/>
          <w:lang w:val="en-US" w:eastAsia="zh-CN"/>
        </w:rPr>
        <w:t>提供空间位阻作用，将其加入浆料中，可以明显降低</w:t>
      </w:r>
      <w:r>
        <w:rPr>
          <w:rFonts w:hint="eastAsia" w:ascii="Arial" w:hAnsi="Arial"/>
          <w:lang w:val="en-US" w:eastAsia="zh-CN"/>
        </w:rPr>
        <w:t>纳米无机粉体</w:t>
      </w:r>
      <w:r>
        <w:rPr>
          <w:rFonts w:hint="eastAsia" w:ascii="Arial" w:hAnsi="Arial" w:eastAsia="宋体"/>
          <w:lang w:val="en-US" w:eastAsia="zh-CN"/>
        </w:rPr>
        <w:t>浆料的粘度；改善浆料的流动性；</w:t>
      </w:r>
    </w:p>
    <w:p>
      <w:pPr>
        <w:numPr>
          <w:ilvl w:val="0"/>
          <w:numId w:val="1"/>
        </w:numPr>
        <w:spacing w:line="300" w:lineRule="exact"/>
        <w:ind w:left="420" w:leftChars="0" w:hanging="420" w:firstLineChars="0"/>
        <w:rPr>
          <w:rFonts w:ascii="Arial" w:hAnsi="Arial" w:eastAsia="宋体"/>
          <w:color w:val="000000"/>
        </w:rPr>
      </w:pPr>
      <w:r>
        <w:rPr>
          <w:rFonts w:hint="eastAsia" w:ascii="Arial" w:hAnsi="Arial" w:eastAsia="宋体"/>
          <w:lang w:val="en-US" w:eastAsia="zh-CN"/>
        </w:rPr>
        <w:t>减少浆料的沉降、絮凝等不良现象</w:t>
      </w:r>
      <w:r>
        <w:rPr>
          <w:rFonts w:hint="eastAsia" w:ascii="Arial" w:hAnsi="Arial"/>
          <w:lang w:val="en-US" w:eastAsia="zh-CN"/>
        </w:rPr>
        <w:t>，</w:t>
      </w:r>
      <w:r>
        <w:rPr>
          <w:rFonts w:hint="eastAsia" w:ascii="Arial" w:hAnsi="Arial" w:eastAsia="宋体"/>
          <w:lang w:val="en-US" w:eastAsia="zh-CN"/>
        </w:rPr>
        <w:t>提高浆料</w:t>
      </w:r>
      <w:r>
        <w:rPr>
          <w:rFonts w:hint="eastAsia" w:ascii="Arial" w:hAnsi="Arial"/>
          <w:lang w:val="en-US" w:eastAsia="zh-CN"/>
        </w:rPr>
        <w:t>的储存稳定性。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使用方法</w:t>
      </w:r>
    </w:p>
    <w:p>
      <w:pPr>
        <w:numPr>
          <w:ilvl w:val="0"/>
          <w:numId w:val="0"/>
        </w:numPr>
        <w:spacing w:line="300" w:lineRule="exact"/>
        <w:jc w:val="both"/>
        <w:rPr>
          <w:rFonts w:hint="default" w:ascii="Arial" w:hAnsi="Arial" w:eastAsia="宋体"/>
          <w:u w:val="single"/>
          <w:lang w:val="en-US" w:eastAsia="zh-CN"/>
        </w:rPr>
      </w:pPr>
      <w:r>
        <w:rPr>
          <w:rFonts w:hint="eastAsia" w:ascii="Arial" w:hAnsi="Arial"/>
          <w:lang w:val="en-US" w:eastAsia="zh-CN"/>
        </w:rPr>
        <w:t>先</w:t>
      </w:r>
      <w:r>
        <w:rPr>
          <w:rFonts w:hint="eastAsia" w:ascii="Arial" w:hAnsi="Arial" w:eastAsia="宋体"/>
          <w:lang w:val="en-US" w:eastAsia="zh-CN"/>
        </w:rPr>
        <w:t>将分散剂</w:t>
      </w:r>
      <w:r>
        <w:rPr>
          <w:rFonts w:hint="eastAsia" w:ascii="Arial" w:hAnsi="Arial" w:eastAsia="宋体" w:cs="宋体"/>
          <w:lang w:val="en-US" w:eastAsia="zh-CN"/>
        </w:rPr>
        <w:t>信诺</w:t>
      </w:r>
      <w:r>
        <w:rPr>
          <w:rFonts w:hint="eastAsia" w:ascii="Arial" w:hAnsi="Arial" w:eastAsia="宋体" w:cs="宋体"/>
          <w:b w:val="0"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Arial" w:hAnsi="Arial" w:eastAsia="宋体"/>
          <w:lang w:val="en-US" w:eastAsia="zh-CN"/>
        </w:rPr>
        <w:t>LD 112</w:t>
      </w:r>
      <w:r>
        <w:rPr>
          <w:rFonts w:hint="eastAsia" w:ascii="Arial" w:hAnsi="Arial"/>
          <w:lang w:val="en-US" w:eastAsia="zh-CN"/>
        </w:rPr>
        <w:t>9和溶剂混合均匀，再加粉料一起研磨。</w:t>
      </w:r>
    </w:p>
    <w:p>
      <w:pPr>
        <w:numPr>
          <w:ilvl w:val="0"/>
          <w:numId w:val="0"/>
        </w:numPr>
        <w:spacing w:line="300" w:lineRule="exact"/>
        <w:jc w:val="both"/>
        <w:rPr>
          <w:rFonts w:hint="eastAsia" w:ascii="Arial" w:hAnsi="Arial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b/>
          <w:color w:val="000000"/>
          <w:sz w:val="28"/>
          <w:szCs w:val="28"/>
          <w:lang w:val="en-US" w:eastAsia="zh-CN"/>
        </w:rPr>
        <w:t>建议用量</w:t>
      </w:r>
    </w:p>
    <w:p>
      <w:pPr>
        <w:spacing w:line="300" w:lineRule="exact"/>
        <w:rPr>
          <w:rFonts w:hint="eastAsia" w:ascii="Arial" w:hAnsi="Arial" w:eastAsia="宋体"/>
          <w:color w:val="000000"/>
          <w:lang w:val="en-US" w:eastAsia="zh-CN"/>
        </w:rPr>
      </w:pPr>
      <w:r>
        <w:rPr>
          <w:rFonts w:ascii="Arial" w:hAnsi="Arial" w:eastAsia="宋体"/>
          <w:color w:val="000000"/>
        </w:rPr>
        <w:t>添加量(</w:t>
      </w:r>
      <w:r>
        <w:rPr>
          <w:rFonts w:hint="eastAsia" w:ascii="Arial" w:hAnsi="Arial" w:eastAsia="宋体"/>
          <w:color w:val="000000"/>
          <w:u w:val="single"/>
          <w:lang w:val="en-US" w:eastAsia="zh-CN"/>
        </w:rPr>
        <w:t>购入形式</w:t>
      </w:r>
      <w:r>
        <w:rPr>
          <w:rFonts w:ascii="Arial" w:hAnsi="Arial" w:eastAsia="宋体"/>
          <w:color w:val="000000"/>
        </w:rPr>
        <w:t>)</w:t>
      </w:r>
      <w:r>
        <w:rPr>
          <w:rFonts w:hint="eastAsia" w:ascii="Arial" w:hAnsi="Arial" w:eastAsia="宋体"/>
          <w:color w:val="000000"/>
          <w:lang w:val="en-US" w:eastAsia="zh-CN"/>
        </w:rPr>
        <w:t xml:space="preserve"> 基于</w:t>
      </w:r>
      <w:r>
        <w:rPr>
          <w:rFonts w:hint="eastAsia" w:ascii="Arial" w:hAnsi="Arial"/>
          <w:color w:val="000000"/>
          <w:lang w:val="en-US" w:eastAsia="zh-CN"/>
        </w:rPr>
        <w:t>纳米无机粉体材料 2-10%。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储存稳定性</w:t>
      </w:r>
    </w:p>
    <w:p>
      <w:pPr>
        <w:spacing w:line="300" w:lineRule="exact"/>
        <w:rPr>
          <w:rFonts w:ascii="Arial" w:hAnsi="Arial" w:eastAsia="宋体"/>
          <w:color w:val="000000"/>
          <w:szCs w:val="21"/>
        </w:rPr>
      </w:pPr>
      <w:r>
        <w:rPr>
          <w:rFonts w:hint="eastAsia" w:ascii="Arial" w:hAnsi="Arial" w:eastAsia="宋体"/>
          <w:szCs w:val="21"/>
          <w:lang w:val="en-US" w:eastAsia="zh-CN"/>
        </w:rPr>
        <w:t>密封，置避光处储存。</w:t>
      </w:r>
      <w:r>
        <w:rPr>
          <w:rFonts w:ascii="Arial" w:hAnsi="Arial" w:eastAsia="宋体"/>
          <w:szCs w:val="21"/>
        </w:rPr>
        <w:t>未开封的原包装中保存24个月。</w:t>
      </w:r>
      <w:r>
        <w:rPr>
          <w:rFonts w:hint="eastAsia" w:ascii="Arial" w:hAnsi="Arial" w:eastAsia="宋体"/>
          <w:szCs w:val="21"/>
          <w:lang w:eastAsia="zh-CN"/>
        </w:rPr>
        <w:t>超过储存期的产品，经检验合格后可继续使用。</w:t>
      </w:r>
      <w:r>
        <w:rPr>
          <w:rFonts w:ascii="Arial" w:hAnsi="Arial" w:eastAsia="宋体"/>
          <w:color w:val="000000"/>
          <w:szCs w:val="21"/>
        </w:rPr>
        <w:t>容器未完全用空前，使用后须立即紧闭。</w:t>
      </w:r>
    </w:p>
    <w:p>
      <w:pPr>
        <w:spacing w:line="240" w:lineRule="auto"/>
        <w:rPr>
          <w:rFonts w:hint="eastAsia" w:ascii="Arial" w:hAnsi="Arial" w:eastAsia="宋体"/>
          <w:color w:val="000000"/>
          <w:sz w:val="18"/>
          <w:szCs w:val="18"/>
          <w:lang w:val="en-US" w:eastAsia="zh-CN"/>
        </w:rPr>
      </w:pPr>
    </w:p>
    <w:p>
      <w:pPr>
        <w:spacing w:line="240" w:lineRule="auto"/>
        <w:rPr>
          <w:rFonts w:ascii="Arial" w:hAnsi="Arial" w:eastAsia="宋体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ascii="Arial" w:hAnsi="Arial" w:eastAsia="宋体"/>
          <w:b/>
          <w:color w:val="000000"/>
          <w:sz w:val="28"/>
          <w:szCs w:val="28"/>
        </w:rPr>
      </w:pPr>
      <w:r>
        <w:rPr>
          <w:rFonts w:ascii="Arial" w:hAnsi="Arial" w:eastAsia="宋体"/>
          <w:b/>
          <w:color w:val="000000"/>
          <w:sz w:val="28"/>
          <w:szCs w:val="28"/>
        </w:rPr>
        <w:t>包装</w:t>
      </w:r>
    </w:p>
    <w:p>
      <w:pPr>
        <w:spacing w:line="300" w:lineRule="exact"/>
        <w:rPr>
          <w:rFonts w:ascii="Arial" w:hAnsi="Arial" w:eastAsia="宋体"/>
          <w:color w:val="000000"/>
          <w:szCs w:val="21"/>
        </w:rPr>
      </w:pPr>
      <w:r>
        <w:rPr>
          <w:rFonts w:hint="eastAsia" w:ascii="Arial" w:hAnsi="Arial" w:eastAsia="宋体"/>
          <w:color w:val="000000"/>
          <w:szCs w:val="21"/>
          <w:lang w:val="en-US" w:eastAsia="zh-CN"/>
        </w:rPr>
        <w:t>25 kg</w:t>
      </w:r>
      <w:r>
        <w:rPr>
          <w:rFonts w:hint="eastAsia" w:ascii="Arial" w:hAnsi="Arial" w:eastAsia="宋体"/>
          <w:color w:val="000000"/>
          <w:szCs w:val="21"/>
          <w:lang w:eastAsia="zh-CN"/>
        </w:rPr>
        <w:t>（</w:t>
      </w:r>
      <w:r>
        <w:rPr>
          <w:rFonts w:hint="eastAsia" w:ascii="Arial" w:hAnsi="Arial"/>
          <w:color w:val="000000"/>
          <w:szCs w:val="21"/>
          <w:lang w:val="en-US" w:eastAsia="zh-CN"/>
        </w:rPr>
        <w:t>塑料桶</w:t>
      </w:r>
      <w:r>
        <w:rPr>
          <w:rFonts w:hint="eastAsia" w:ascii="Arial" w:hAnsi="Arial" w:eastAsia="宋体"/>
          <w:color w:val="000000"/>
          <w:szCs w:val="21"/>
          <w:lang w:eastAsia="zh-CN"/>
        </w:rPr>
        <w:t>）</w:t>
      </w:r>
      <w:r>
        <w:rPr>
          <w:rFonts w:ascii="Arial" w:hAnsi="Arial" w:eastAsia="宋体"/>
          <w:color w:val="00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/>
          <w:b/>
          <w:color w:val="000000"/>
          <w:sz w:val="28"/>
          <w:szCs w:val="28"/>
          <w:lang w:val="en-US" w:eastAsia="zh-CN"/>
        </w:rPr>
      </w:pPr>
    </w:p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应用性能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default"/>
          <w:b/>
          <w:bCs/>
          <w:color w:val="000000"/>
          <w:sz w:val="22"/>
          <w:szCs w:val="22"/>
          <w:lang w:val="en-US" w:eastAsia="zh-CN"/>
        </w:rPr>
      </w:pPr>
      <w:r>
        <w:rPr>
          <w:rFonts w:hint="eastAsia" w:ascii="Arial" w:hAnsi="Arial" w:eastAsia="宋体" w:cs="宋体"/>
          <w:b/>
          <w:bCs/>
          <w:sz w:val="22"/>
          <w:szCs w:val="22"/>
          <w:lang w:val="en-US" w:eastAsia="zh-CN"/>
        </w:rPr>
        <w:t>信诺</w:t>
      </w:r>
      <w:r>
        <w:rPr>
          <w:rFonts w:hint="eastAsia" w:ascii="Arial" w:hAnsi="Arial" w:eastAsia="宋体" w:cs="宋体"/>
          <w:b/>
          <w:bCs/>
          <w:color w:val="000000"/>
          <w:sz w:val="22"/>
          <w:szCs w:val="22"/>
          <w:vertAlign w:val="superscript"/>
        </w:rPr>
        <w:t>®</w:t>
      </w:r>
      <w:r>
        <w:rPr>
          <w:rFonts w:hint="eastAsia" w:ascii="Arial" w:hAnsi="Arial" w:eastAsia="宋体"/>
          <w:b/>
          <w:bCs/>
          <w:sz w:val="22"/>
          <w:szCs w:val="22"/>
          <w:lang w:val="en-US" w:eastAsia="zh-CN"/>
        </w:rPr>
        <w:t>LD 112</w:t>
      </w:r>
      <w:r>
        <w:rPr>
          <w:rFonts w:hint="eastAsia" w:ascii="Arial" w:hAnsi="Arial"/>
          <w:b/>
          <w:bCs/>
          <w:sz w:val="22"/>
          <w:szCs w:val="22"/>
          <w:lang w:val="en-US" w:eastAsia="zh-CN"/>
        </w:rPr>
        <w:t>9在</w:t>
      </w:r>
      <w:r>
        <w:rPr>
          <w:rFonts w:hint="eastAsia"/>
          <w:b/>
          <w:bCs/>
          <w:color w:val="000000"/>
          <w:sz w:val="22"/>
          <w:szCs w:val="22"/>
          <w:lang w:val="en-US" w:eastAsia="zh-CN"/>
        </w:rPr>
        <w:t>不同溶剂中的溶解性</w:t>
      </w:r>
    </w:p>
    <w:tbl>
      <w:tblPr>
        <w:tblStyle w:val="4"/>
        <w:tblW w:w="5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Arial" w:hAnsi="Arial" w:cs="Arial"/>
                <w:sz w:val="24"/>
                <w:szCs w:val="24"/>
                <w:lang w:val="en-US" w:eastAsia="zh-CN" w:bidi="ar"/>
              </w:rPr>
              <w:t>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乙醇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</w:t>
            </w:r>
            <w:r>
              <w:rPr>
                <w:rStyle w:val="9"/>
                <w:sz w:val="22"/>
                <w:szCs w:val="22"/>
                <w:lang w:val="en-US" w:eastAsia="zh-CN" w:bidi="ar"/>
              </w:rPr>
              <w:t>丁氧基乙醇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乙酸二氢松油酯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PGMEA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sz w:val="22"/>
                <w:szCs w:val="22"/>
                <w:lang w:val="en-US" w:eastAsia="zh-CN" w:bidi="ar"/>
              </w:rPr>
              <w:t>甲苯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default"/>
          <w:b w:val="0"/>
          <w:bCs/>
          <w:color w:val="000000"/>
          <w:sz w:val="22"/>
          <w:szCs w:val="22"/>
          <w:lang w:val="en-US" w:eastAsia="zh-CN"/>
        </w:rPr>
      </w:pPr>
      <w:r>
        <w:rPr>
          <w:rFonts w:hint="eastAsia"/>
          <w:b w:val="0"/>
          <w:bCs/>
          <w:color w:val="000000"/>
          <w:sz w:val="22"/>
          <w:szCs w:val="22"/>
          <w:lang w:val="en-US" w:eastAsia="zh-CN"/>
        </w:rPr>
        <w:t>注：5%溶液，25℃；</w:t>
      </w:r>
      <w:r>
        <w:rPr>
          <w:rStyle w:val="9"/>
          <w:rFonts w:hint="eastAsia" w:ascii="宋体" w:hAnsi="宋体" w:eastAsia="宋体" w:cs="宋体"/>
          <w:b w:val="0"/>
          <w:bCs/>
          <w:sz w:val="22"/>
          <w:szCs w:val="22"/>
          <w:lang w:val="en-US" w:eastAsia="zh-CN" w:bidi="ar"/>
        </w:rPr>
        <w:t>〇</w:t>
      </w:r>
      <w:r>
        <w:rPr>
          <w:rStyle w:val="9"/>
          <w:rFonts w:hint="eastAsia" w:ascii="宋体" w:hAnsi="宋体" w:cs="宋体"/>
          <w:b w:val="0"/>
          <w:bCs/>
          <w:sz w:val="22"/>
          <w:szCs w:val="22"/>
          <w:lang w:val="en-US" w:eastAsia="zh-CN" w:bidi="ar"/>
        </w:rPr>
        <w:t>-可溶，</w:t>
      </w:r>
      <w:r>
        <w:rPr>
          <w:rStyle w:val="9"/>
          <w:rFonts w:hint="default" w:ascii="Arial" w:hAnsi="Arial" w:cs="Arial"/>
          <w:b w:val="0"/>
          <w:bCs/>
          <w:sz w:val="28"/>
          <w:szCs w:val="28"/>
          <w:lang w:val="en-US" w:eastAsia="zh-CN" w:bidi="ar"/>
        </w:rPr>
        <w:t>×</w:t>
      </w:r>
      <w:r>
        <w:rPr>
          <w:rStyle w:val="9"/>
          <w:rFonts w:hint="eastAsia" w:ascii="Arial" w:hAnsi="Arial" w:cs="Arial"/>
          <w:b w:val="0"/>
          <w:bCs/>
          <w:sz w:val="22"/>
          <w:szCs w:val="22"/>
          <w:lang w:val="en-US" w:eastAsia="zh-CN" w:bidi="ar"/>
        </w:rPr>
        <w:t>-不溶。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default"/>
          <w:b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default"/>
          <w:b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color w:val="auto"/>
          <w:sz w:val="22"/>
          <w:szCs w:val="22"/>
          <w:lang w:val="en-US" w:eastAsia="zh-CN"/>
        </w:rPr>
        <w:t>纳米钛酸钡、纳米二氧化锆、纳米镍浆料的应用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default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2.1 浆料配方及工艺</w:t>
      </w:r>
    </w:p>
    <w:tbl>
      <w:tblPr>
        <w:tblStyle w:val="4"/>
        <w:tblW w:w="6214" w:type="dxa"/>
        <w:tblInd w:w="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218"/>
        <w:gridCol w:w="1290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原料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比例，%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比例，%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比例，%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乙酸二氢松油酯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分散剂</w:t>
            </w:r>
            <w:r>
              <w:rPr>
                <w:rFonts w:hint="eastAsia" w:ascii="Arial" w:hAnsi="Arial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信诺LD1129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2.20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纳米</w:t>
            </w:r>
            <w:r>
              <w:rPr>
                <w:rFonts w:hint="eastAsia" w:ascii="Arial" w:hAnsi="Arial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钛酸钡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纳米二氧化锆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55.00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纳米镍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55.00</w:t>
            </w:r>
          </w:p>
        </w:tc>
      </w:tr>
    </w:tbl>
    <w:p>
      <w:pPr>
        <w:spacing w:line="300" w:lineRule="exact"/>
        <w:rPr>
          <w:rFonts w:hint="default"/>
          <w:b w:val="0"/>
          <w:bCs/>
          <w:color w:val="auto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rPr>
          <w:rFonts w:hint="default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2.2 浆料粘度、粒径及稳定性</w:t>
      </w:r>
    </w:p>
    <w:tbl>
      <w:tblPr>
        <w:tblStyle w:val="4"/>
        <w:tblW w:w="89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2289"/>
        <w:gridCol w:w="2004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分散剂牌号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纳米钛酸钡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纳米二氧化锆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纳米镍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浆料浓度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粘度，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cps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μm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0.267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0.257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0.260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μm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0.569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0.510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0.570</w:t>
            </w:r>
          </w:p>
        </w:tc>
      </w:tr>
    </w:tbl>
    <w:p>
      <w:pPr>
        <w:numPr>
          <w:ilvl w:val="0"/>
          <w:numId w:val="0"/>
        </w:numPr>
        <w:rPr>
          <w:rFonts w:hint="default"/>
          <w:color w:val="FF0000"/>
          <w:sz w:val="22"/>
          <w:szCs w:val="22"/>
          <w:lang w:val="en-US" w:eastAsia="zh-CN"/>
        </w:rPr>
      </w:pPr>
    </w:p>
    <w:sectPr>
      <w:type w:val="continuous"/>
      <w:pgSz w:w="11906" w:h="16838"/>
      <w:pgMar w:top="1440" w:right="170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以上是有关我们产品的最新资讯，但由于受到各类配方及生产条件不同因素的影响，请务必按照贵公司的生产条件做适当调整。我们无法为各种个别情况做出担保，包括专利权益。</w:t>
    </w:r>
  </w:p>
  <w:p>
    <w:pPr>
      <w:pStyle w:val="2"/>
      <w:rPr>
        <w:rFonts w:hint="eastAsia"/>
        <w:lang w:val="en-US" w:eastAsia="zh-CN"/>
      </w:rPr>
    </w:pPr>
    <w:r>
      <w:rPr>
        <w:rFonts w:hint="eastAsia"/>
        <w:lang w:val="en-US" w:eastAsia="zh-CN"/>
      </w:rPr>
      <w:t>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为安徽嘉智信诺化工股份有限公司注册商标                                                                                      编号：JZXN-JSWJ-XS-ZJ-01</w:t>
    </w:r>
  </w:p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>生效日期 2023/11/20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drawing>
        <wp:inline distT="0" distB="0" distL="114300" distR="114300">
          <wp:extent cx="762635" cy="381000"/>
          <wp:effectExtent l="0" t="0" r="18415" b="0"/>
          <wp:docPr id="2" name="图片 5" descr="台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台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>
      <w:rPr>
        <w:rFonts w:hint="eastAsia"/>
        <w:lang w:val="en-US" w:eastAsia="zh-CN"/>
      </w:rPr>
      <w:t xml:space="preserve">          信诺</w:t>
    </w:r>
    <w:r>
      <w:rPr>
        <w:rFonts w:hint="eastAsia"/>
        <w:vertAlign w:val="superscript"/>
        <w:lang w:val="en-US" w:eastAsia="zh-CN"/>
      </w:rPr>
      <w:t>®</w:t>
    </w:r>
    <w:r>
      <w:rPr>
        <w:rFonts w:hint="eastAsia"/>
        <w:lang w:val="en-US" w:eastAsia="zh-CN"/>
      </w:rPr>
      <w:t>添加剂 点滴创造价值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76FA0"/>
    <w:multiLevelType w:val="singleLevel"/>
    <w:tmpl w:val="16B76FA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2EB539"/>
    <w:multiLevelType w:val="singleLevel"/>
    <w:tmpl w:val="772EB5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OTI3NWQ4Y2NhNTRlYjE1MDZlNWUxMjIzN2RhOTQifQ=="/>
  </w:docVars>
  <w:rsids>
    <w:rsidRoot w:val="31AB4D11"/>
    <w:rsid w:val="005F2885"/>
    <w:rsid w:val="01DC6D49"/>
    <w:rsid w:val="024B4FDC"/>
    <w:rsid w:val="08215A65"/>
    <w:rsid w:val="0AA62536"/>
    <w:rsid w:val="0D561CEB"/>
    <w:rsid w:val="0DA756FC"/>
    <w:rsid w:val="0FA2297C"/>
    <w:rsid w:val="109E2494"/>
    <w:rsid w:val="118E3A0B"/>
    <w:rsid w:val="15BD1C9F"/>
    <w:rsid w:val="191340CC"/>
    <w:rsid w:val="1C955BE2"/>
    <w:rsid w:val="1CA25053"/>
    <w:rsid w:val="1DAB629C"/>
    <w:rsid w:val="21BD7193"/>
    <w:rsid w:val="21E32D58"/>
    <w:rsid w:val="226B77D3"/>
    <w:rsid w:val="25857A63"/>
    <w:rsid w:val="27D752DF"/>
    <w:rsid w:val="28B55004"/>
    <w:rsid w:val="29780AD6"/>
    <w:rsid w:val="2A700730"/>
    <w:rsid w:val="2AE512C1"/>
    <w:rsid w:val="2BC227B7"/>
    <w:rsid w:val="2C3D6AD0"/>
    <w:rsid w:val="2E524B1E"/>
    <w:rsid w:val="2F8B1E32"/>
    <w:rsid w:val="2FCE2094"/>
    <w:rsid w:val="30BC216C"/>
    <w:rsid w:val="31AB4D11"/>
    <w:rsid w:val="36400AA8"/>
    <w:rsid w:val="371F22A5"/>
    <w:rsid w:val="374B2E2B"/>
    <w:rsid w:val="3A8B5A59"/>
    <w:rsid w:val="3AB1666B"/>
    <w:rsid w:val="3BEC7EB9"/>
    <w:rsid w:val="3CE81030"/>
    <w:rsid w:val="414D00E2"/>
    <w:rsid w:val="415D3D01"/>
    <w:rsid w:val="41962EF5"/>
    <w:rsid w:val="422A6258"/>
    <w:rsid w:val="44174459"/>
    <w:rsid w:val="492F0E75"/>
    <w:rsid w:val="49A06D4E"/>
    <w:rsid w:val="4B932A98"/>
    <w:rsid w:val="4C0A286A"/>
    <w:rsid w:val="4CB03574"/>
    <w:rsid w:val="4CBF18F9"/>
    <w:rsid w:val="4CDD5139"/>
    <w:rsid w:val="513319A0"/>
    <w:rsid w:val="56326355"/>
    <w:rsid w:val="57B227BD"/>
    <w:rsid w:val="57EC3417"/>
    <w:rsid w:val="58492702"/>
    <w:rsid w:val="59654408"/>
    <w:rsid w:val="5E0314BA"/>
    <w:rsid w:val="5FFC4B39"/>
    <w:rsid w:val="608669BD"/>
    <w:rsid w:val="66304E17"/>
    <w:rsid w:val="66692369"/>
    <w:rsid w:val="68364BF9"/>
    <w:rsid w:val="68393E37"/>
    <w:rsid w:val="69287710"/>
    <w:rsid w:val="6C1F7085"/>
    <w:rsid w:val="6CDE7DCE"/>
    <w:rsid w:val="6D366826"/>
    <w:rsid w:val="6D535020"/>
    <w:rsid w:val="6F8F3999"/>
    <w:rsid w:val="6FCD1AD0"/>
    <w:rsid w:val="702077C8"/>
    <w:rsid w:val="706417CC"/>
    <w:rsid w:val="75657339"/>
    <w:rsid w:val="76FC0594"/>
    <w:rsid w:val="77DB3951"/>
    <w:rsid w:val="782C7F4A"/>
    <w:rsid w:val="7A30275A"/>
    <w:rsid w:val="7B741C50"/>
    <w:rsid w:val="7E602F83"/>
    <w:rsid w:val="7F5F0624"/>
    <w:rsid w:val="7FB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6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OM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12</Pages>
  <Words>1441</Words>
  <Characters>1923</Characters>
  <Lines>0</Lines>
  <Paragraphs>0</Paragraphs>
  <TotalTime>14</TotalTime>
  <ScaleCrop>false</ScaleCrop>
  <LinksUpToDate>false</LinksUpToDate>
  <CharactersWithSpaces>2032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2018-10-08T07:27:00Z</dcterms:created>
  <dc:creator>墨闻羽落</dc:creator>
  <cp:lastModifiedBy>嘉智信诺，股票代码831654，陈永康</cp:lastModifiedBy>
  <dcterms:modified xsi:type="dcterms:W3CDTF">2023-11-21T00:41:27Z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B1B24EB88065493490040C42B061BA9B</vt:lpwstr>
  </property>
</Properties>
</file>